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"/>
        <w:ind w:left="112" w:hanging="0"/>
        <w:jc w:val="left"/>
        <w:rPr>
          <w:rFonts w:ascii="Times New Roman" w:hAnsi="Times New Roman" w:eastAsia="Times New Roman" w:cs="Times New Roman"/>
          <w:b w:val="false"/>
          <w:color w:val="auto"/>
          <w:sz w:val="2"/>
        </w:rPr>
      </w:pPr>
      <w:r>
        <w:rPr/>
        <w:drawing>
          <wp:inline distT="0" distB="0" distL="0" distR="0">
            <wp:extent cx="6273800" cy="14605"/>
            <wp:effectExtent l="0" t="0" r="0" b="0"/>
            <wp:docPr id="1" name="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3" w:after="0"/>
        <w:jc w:val="left"/>
        <w:rPr>
          <w:rFonts w:ascii="Times New Roman" w:hAnsi="Times New Roman" w:eastAsia="Times New Roman" w:cs="Times New Roman"/>
          <w:b w:val="false"/>
          <w:color w:val="auto"/>
          <w:sz w:val="13"/>
        </w:rPr>
      </w:pPr>
      <w:r>
        <w:rPr>
          <w:rFonts w:eastAsia="Times New Roman" w:cs="Times New Roman" w:ascii="Times New Roman" w:hAnsi="Times New Roman"/>
          <w:b w:val="false"/>
          <w:color w:val="auto"/>
          <w:sz w:val="13"/>
        </w:rPr>
      </w:r>
    </w:p>
    <w:p>
      <w:pPr>
        <w:pStyle w:val="Normal"/>
        <w:spacing w:lineRule="exact" w:line="180" w:before="99" w:after="0"/>
        <w:ind w:left="6470" w:right="52" w:hanging="0"/>
        <w:jc w:val="left"/>
        <w:rPr>
          <w:rFonts w:ascii="Times New Roman" w:hAnsi="Times New Roman" w:eastAsia="Times New Roman" w:cs="Times New Roman"/>
          <w:b w:val="false"/>
          <w:color w:val="231F20"/>
          <w:sz w:val="16"/>
        </w:rPr>
      </w:pPr>
      <w:r>
        <w:rPr>
          <w:rFonts w:eastAsia="Times New Roman" w:cs="Times New Roman" w:ascii="Times New Roman" w:hAnsi="Times New Roman"/>
          <w:b w:val="false"/>
          <w:color w:val="231F20"/>
          <w:sz w:val="16"/>
        </w:rPr>
        <w:t>Załącznik do rozporządzenia Ministra Sprawiedliwości z dnia 30 listopada 2018 r. (poz. 2307)</w:t>
      </w:r>
    </w:p>
    <w:p>
      <w:pPr>
        <w:pStyle w:val="Normal"/>
        <w:spacing w:lineRule="auto" w:line="240" w:before="4" w:after="0"/>
        <w:jc w:val="left"/>
        <w:rPr>
          <w:rFonts w:ascii="Times New Roman" w:hAnsi="Times New Roman" w:eastAsia="Times New Roman" w:cs="Times New Roman"/>
          <w:b w:val="false"/>
          <w:color w:val="auto"/>
          <w:sz w:val="22"/>
        </w:rPr>
      </w:pPr>
      <w:r>
        <w:rPr>
          <w:rFonts w:eastAsia="Times New Roman" w:cs="Times New Roman" w:ascii="Times New Roman" w:hAnsi="Times New Roman"/>
          <w:b w:val="false"/>
          <w:color w:val="auto"/>
          <w:sz w:val="22"/>
        </w:rPr>
      </w:r>
    </w:p>
    <w:p>
      <w:pPr>
        <w:pStyle w:val="Normal"/>
        <w:spacing w:lineRule="auto" w:line="240" w:before="3" w:after="0"/>
        <w:jc w:val="left"/>
        <w:rPr>
          <w:rFonts w:ascii="Times New Roman" w:hAnsi="Times New Roman" w:eastAsia="Times New Roman" w:cs="Times New Roman"/>
          <w:b/>
          <w:color w:val="auto"/>
          <w:sz w:val="20"/>
        </w:rPr>
      </w:pPr>
      <w:r>
        <w:rPr>
          <w:rFonts w:eastAsia="Times New Roman" w:cs="Times New Roman" w:ascii="Times New Roman" w:hAnsi="Times New Roman"/>
          <w:b/>
          <w:color w:val="auto"/>
          <w:sz w:val="20"/>
        </w:rPr>
      </w:r>
    </w:p>
    <w:tbl>
      <w:tblPr>
        <w:tblW w:w="9569" w:type="dxa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10" w:type="dxa"/>
        </w:tblCellMar>
      </w:tblPr>
      <w:tblGrid>
        <w:gridCol w:w="4889"/>
        <w:gridCol w:w="1480"/>
        <w:gridCol w:w="3200"/>
      </w:tblGrid>
      <w:tr>
        <w:trPr/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spacing w:lineRule="auto" w:line="240" w:before="56" w:after="0"/>
              <w:ind w:left="659" w:hanging="0"/>
              <w:jc w:val="left"/>
              <w:rPr>
                <w:rFonts w:ascii="Calibri" w:hAnsi="Calibri" w:eastAsia="Calibri" w:cs="Calibri"/>
                <w:b w:val="false"/>
                <w:color w:val="auto"/>
                <w:sz w:val="22"/>
              </w:rPr>
            </w:pPr>
            <w:r>
              <w:rPr>
                <w:rFonts w:eastAsia="Arial" w:cs="Arial" w:ascii="Arial" w:hAnsi="Arial"/>
                <w:b/>
                <w:color w:val="auto"/>
                <w:sz w:val="28"/>
              </w:rPr>
              <w:t>WNIOSEK O WSZCZĘCIE EGZEKUCJI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spacing w:lineRule="exact" w:line="248"/>
              <w:ind w:left="64" w:hanging="0"/>
              <w:jc w:val="left"/>
              <w:rPr>
                <w:rFonts w:ascii="Arial" w:hAnsi="Arial" w:eastAsia="Arial" w:cs="Arial"/>
                <w:b/>
                <w:color w:val="auto"/>
                <w:sz w:val="22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>Data wpływu</w:t>
            </w:r>
          </w:p>
          <w:p>
            <w:pPr>
              <w:pStyle w:val="Normal"/>
              <w:spacing w:lineRule="auto" w:line="240" w:before="1" w:after="0"/>
              <w:ind w:left="64" w:hanging="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(wypełnia komornik)</w:t>
            </w:r>
          </w:p>
        </w:tc>
      </w:tr>
      <w:tr>
        <w:trPr/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836967"/>
              <w:right w:val="single" w:sz="4" w:space="0" w:color="000000"/>
              <w:insideH w:val="single" w:sz="6" w:space="0" w:color="836967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spacing w:lineRule="exact" w:line="225"/>
              <w:ind w:left="2441" w:right="2444" w:hanging="0"/>
              <w:jc w:val="center"/>
              <w:rPr>
                <w:rFonts w:ascii="Arial" w:hAnsi="Arial" w:eastAsia="Arial" w:cs="Arial"/>
                <w:b/>
                <w:color w:val="auto"/>
                <w:sz w:val="20"/>
              </w:rPr>
            </w:pPr>
            <w:r>
              <w:rPr>
                <w:rFonts w:eastAsia="Arial" w:cs="Arial" w:ascii="Arial" w:hAnsi="Arial"/>
                <w:b/>
                <w:color w:val="auto"/>
                <w:sz w:val="20"/>
              </w:rPr>
              <w:t>P o u c z e n i e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spacing w:lineRule="auto" w:line="240"/>
              <w:ind w:left="64" w:right="66" w:hanging="360"/>
              <w:jc w:val="both"/>
              <w:rPr/>
            </w:pP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Wniosek należy wypełnić czytelnie, dokonując wpisów bez skreśleń i poprawek.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spacing w:lineRule="auto" w:line="240"/>
              <w:ind w:left="64" w:right="62" w:hanging="360"/>
              <w:jc w:val="both"/>
              <w:rPr/>
            </w:pP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Każdą rubrykę niezacieniowaną należy wypełnić albo skreślić. Jeśli po wpisaniu treści w rubryce pozostało wolne miejsce, należy je skreślić w sposób uniemożliwiający dopisywanie.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0" w:leader="none"/>
              </w:tabs>
              <w:spacing w:lineRule="exact" w:line="226" w:before="7" w:after="0"/>
              <w:ind w:left="285" w:hanging="360"/>
              <w:jc w:val="both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Do wniosku należy dołączyć załączniki.</w:t>
            </w:r>
          </w:p>
        </w:tc>
        <w:tc>
          <w:tcPr>
            <w:tcW w:w="3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69" w:type="dxa"/>
            <w:gridSpan w:val="3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0" w:leader="none"/>
              </w:tabs>
              <w:spacing w:lineRule="auto" w:line="240"/>
              <w:ind w:left="64" w:right="65" w:hanging="360"/>
              <w:jc w:val="both"/>
              <w:rPr/>
            </w:pP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W przypadku gdy treść nie mieści się w odpowiednich rubrykach, ciąg dalszy zamieszcza się na kolejnych, ponumerowanych kartach formatu A4, ze wskazaniem uzupełnianej rubryki. Pod dodaną do wniosku treścią należy złożyć podpis</w:t>
            </w: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0" w:leader="none"/>
              </w:tabs>
              <w:spacing w:lineRule="exact" w:line="224"/>
              <w:ind w:left="285" w:hanging="360"/>
              <w:jc w:val="both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Jeżeli w rubryce występuje tekst oznaczony znakiem *, to należy niepotrzebne skreślić.</w:t>
            </w:r>
          </w:p>
        </w:tc>
      </w:tr>
      <w:tr>
        <w:trPr/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spacing w:lineRule="auto" w:line="240" w:before="153" w:after="0"/>
              <w:ind w:left="64" w:hanging="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>1. Komornik sądowy, do którego jest składany wniosek o wszczęcie egzekucji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spacing w:lineRule="auto" w:line="240" w:before="87" w:after="0"/>
              <w:ind w:left="491" w:right="896" w:hanging="428"/>
              <w:jc w:val="left"/>
              <w:rPr>
                <w:rFonts w:ascii="Calibri" w:hAnsi="Calibri" w:eastAsia="Calibri" w:cs="Calibri"/>
                <w:b w:val="false"/>
                <w:color w:val="auto"/>
                <w:sz w:val="22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>1.1. Sąd rejonowy, przy którym działa komornik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spacing w:lineRule="auto" w:line="240" w:before="87" w:after="0"/>
              <w:ind w:left="508" w:right="221" w:hanging="444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>1.2. Imię i nazwisko komornika oraz adres kancelarii komorniczej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auto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color w:val="auto"/>
                <w:sz w:val="24"/>
              </w:rPr>
              <w:t>Sąd Rejonowy w Kołobrzegu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auto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color w:val="auto"/>
                <w:sz w:val="24"/>
              </w:rPr>
              <w:t>Komornik Sądowy Michał Burzyński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auto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color w:val="auto"/>
                <w:sz w:val="24"/>
              </w:rPr>
              <w:t>78-100 Kołobrzeg ul. Łopuskiego 23/210</w:t>
            </w:r>
          </w:p>
        </w:tc>
      </w:tr>
      <w:tr>
        <w:trPr/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spacing w:lineRule="auto" w:line="240" w:before="127" w:after="0"/>
              <w:ind w:left="64" w:hanging="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>2. Wierzyciel</w:t>
            </w:r>
          </w:p>
        </w:tc>
      </w:tr>
      <w:tr>
        <w:trPr/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auto" w:line="240" w:before="5" w:after="0"/>
              <w:ind w:left="64" w:hanging="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2.1. Imię i nazwisko lub nazwa</w:t>
            </w:r>
          </w:p>
        </w:tc>
      </w:tr>
      <w:tr>
        <w:trPr/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auto" w:line="240"/>
              <w:ind w:left="492" w:right="573" w:hanging="428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2.2. Miejsce zamieszkania lub siedziby wierzyciela i adres (można dodatkowo podać numer telefonu lub adres poczty elektronicznej)</w:t>
            </w:r>
          </w:p>
        </w:tc>
      </w:tr>
      <w:tr>
        <w:trPr/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auto" w:line="240"/>
              <w:ind w:left="491" w:right="501" w:hanging="427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2.3. Numer PESEL lub NIP wierzyciela będącego osobą fizyczną, a jeżeli wierzyciel nie jest osobą fizyczną, należy wskazać jego numer w Krajowym Rejestrze Sądowym, a w razie jego braku – numer w innym właściwym rejestrze, ewidencji lub NIP, o ile wierzyciel jest obowiązany do jego posiadania.</w:t>
            </w:r>
          </w:p>
        </w:tc>
      </w:tr>
      <w:tr>
        <w:trPr/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auto" w:line="240"/>
              <w:ind w:left="491" w:hanging="427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2.4. Adres wierzyciela do doręczeń, jeżeli jest inny niż wskazany w rubryce 2.2. Jeżeli wierzyciel jest przedsiębiorcą wpisanym do Centralnej Ewidencji i Informacji o Działalności Gospodarczej, należy także wskazać adres do korespondencji wpisany do tej ewidencji.</w:t>
            </w:r>
          </w:p>
        </w:tc>
      </w:tr>
    </w:tbl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</w:r>
    </w:p>
    <w:p>
      <w:pPr>
        <w:pStyle w:val="Normal"/>
        <w:spacing w:lineRule="exact" w:line="20"/>
        <w:ind w:left="112" w:hanging="0"/>
        <w:jc w:val="left"/>
        <w:rPr>
          <w:rFonts w:ascii="Times New Roman" w:hAnsi="Times New Roman" w:eastAsia="Times New Roman" w:cs="Times New Roman"/>
          <w:b w:val="false"/>
          <w:color w:val="auto"/>
          <w:sz w:val="2"/>
        </w:rPr>
      </w:pPr>
      <w:r>
        <w:rPr/>
        <w:drawing>
          <wp:inline distT="0" distB="0" distL="0" distR="0">
            <wp:extent cx="6273800" cy="14605"/>
            <wp:effectExtent l="0" t="0" r="0" b="0"/>
            <wp:docPr id="2" name="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6" w:after="0"/>
        <w:jc w:val="left"/>
        <w:rPr>
          <w:rFonts w:ascii="Times New Roman" w:hAnsi="Times New Roman" w:eastAsia="Times New Roman" w:cs="Times New Roman"/>
          <w:b/>
          <w:color w:val="auto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</w:rPr>
      </w:r>
    </w:p>
    <w:tbl>
      <w:tblPr>
        <w:tblW w:w="9569" w:type="dxa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10" w:type="dxa"/>
        </w:tblCellMar>
      </w:tblPr>
      <w:tblGrid>
        <w:gridCol w:w="4961"/>
        <w:gridCol w:w="4608"/>
      </w:tblGrid>
      <w:tr>
        <w:trPr/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auto" w:line="240"/>
              <w:ind w:left="491" w:right="112" w:hanging="428"/>
              <w:jc w:val="both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2.5. Numer rachunku lub numery rachunków, na które należy przekazać wyegzekwowane środki pieniężne. Można też podać dodatkowe dane potrzebne do przelewu. W razie niewskazania numeru rachunku środki pieniężne będą przekazywane przekazem pocztowym.</w:t>
            </w:r>
          </w:p>
        </w:tc>
      </w:tr>
      <w:tr>
        <w:trPr/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spacing w:lineRule="auto" w:line="240"/>
              <w:ind w:left="347" w:right="693" w:hanging="284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 xml:space="preserve">3. Przedstawiciel ustawowy wierzyciela. Pełnomocnik wierzyciela </w:t>
            </w: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(należy wypełnić, gdy wniosek składa przedstawiciel ustawowy lub pełnomocnik wierzyciela)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exact" w:line="251"/>
              <w:ind w:left="64" w:hanging="0"/>
              <w:jc w:val="left"/>
              <w:rPr>
                <w:rFonts w:ascii="Calibri" w:hAnsi="Calibri" w:eastAsia="Calibri" w:cs="Calibri"/>
                <w:b w:val="false"/>
                <w:color w:val="auto"/>
                <w:sz w:val="22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3.1. Imię i nazwisko lub nazwa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auto" w:line="240"/>
              <w:ind w:left="492" w:hanging="428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3.2. Adres do doręczeń, jeżeli jest inny niż wskazany w rubryce 2.2. lub 2.4. (można dodatkowo podać numer telefonu lub adres poczty elektronicznej)</w:t>
            </w:r>
          </w:p>
        </w:tc>
      </w:tr>
      <w:tr>
        <w:trPr/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spacing w:lineRule="auto" w:line="240" w:before="174" w:after="0"/>
              <w:ind w:left="64" w:hanging="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>4. Dłużnik</w:t>
            </w:r>
          </w:p>
        </w:tc>
      </w:tr>
      <w:tr>
        <w:trPr/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exact" w:line="251"/>
              <w:ind w:left="64" w:hanging="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4.1. Imię i nazwisko lub nazwa</w:t>
            </w:r>
          </w:p>
        </w:tc>
      </w:tr>
      <w:tr>
        <w:trPr/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auto" w:line="240"/>
              <w:ind w:left="491" w:right="63" w:hanging="428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4.2. Miejsce zamieszkania lub siedziby dłużnika i adres. Jeżeli dłużnik jest przedsiębiorcą wpisanym do Centralnej Ewidencji i Informacji o Działalności Gospodarczej, należy też podać adres do korespondencji wpisany w tej ewidencji. Można też podać numer PESEL lub NIP dłużnika będącego osobą fizyczną, a jeżeli dłużnik nie jest osobą fizyczną – numer dłużnika w Krajowym Rejestrze Sądowym, a w razie jego braku – numer w innym właściwym rejestrze, ewidencji lub NIP, o ile numery te są znane wierzycielowi.</w:t>
            </w:r>
          </w:p>
        </w:tc>
      </w:tr>
      <w:tr>
        <w:trPr/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spacing w:lineRule="auto" w:line="240" w:before="21" w:after="0"/>
              <w:ind w:left="64" w:hanging="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>5. Dochodzona wierzytelność</w:t>
            </w:r>
          </w:p>
        </w:tc>
      </w:tr>
      <w:tr>
        <w:trPr/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spacing w:lineRule="auto" w:line="240" w:before="62" w:after="0"/>
              <w:ind w:left="64" w:hanging="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>5.1. Tytuł wykonawczy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tabs>
                <w:tab w:val="left" w:pos="1537" w:leader="none"/>
                <w:tab w:val="left" w:pos="2276" w:leader="none"/>
                <w:tab w:val="left" w:pos="3168" w:leader="none"/>
                <w:tab w:val="left" w:pos="3983" w:leader="none"/>
              </w:tabs>
              <w:spacing w:lineRule="auto" w:line="240"/>
              <w:ind w:left="631" w:right="65" w:hanging="567"/>
              <w:jc w:val="left"/>
              <w:rPr>
                <w:rFonts w:ascii="Calibri" w:hAnsi="Calibri" w:eastAsia="Calibri" w:cs="Calibri"/>
                <w:b w:val="false"/>
                <w:color w:val="auto"/>
                <w:sz w:val="22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 xml:space="preserve">5.1.1. Oznaczenie tytułu egzekucyjnego. </w:t>
            </w: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Należy wskazać rodzaj tytułu (np. wyrok, postanowienie,</w:t>
              <w:tab/>
              <w:t>nakaz</w:t>
              <w:tab/>
              <w:t>zapłaty,</w:t>
              <w:tab/>
              <w:t>ugoda,</w:t>
              <w:tab/>
              <w:t>akt notarialny), organ lub podmiot, który wystawił tytuł, datę jego wydania lub sporządzenia oraz sygnaturę lub numer.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tabs>
                <w:tab w:val="left" w:pos="681" w:leader="none"/>
                <w:tab w:val="left" w:pos="1221" w:leader="none"/>
                <w:tab w:val="left" w:pos="1723" w:leader="none"/>
                <w:tab w:val="left" w:pos="1828" w:leader="none"/>
                <w:tab w:val="left" w:pos="2310" w:leader="none"/>
                <w:tab w:val="left" w:pos="2544" w:leader="none"/>
                <w:tab w:val="left" w:pos="3418" w:leader="none"/>
                <w:tab w:val="left" w:pos="3520" w:leader="none"/>
              </w:tabs>
              <w:spacing w:lineRule="auto" w:line="240"/>
              <w:ind w:left="633" w:right="66" w:hanging="569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>5.1.2. Informacje dotyczące klauzuli wykonalności.</w:t>
              <w:tab/>
            </w: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Należy</w:t>
              <w:tab/>
              <w:t>wskazać</w:t>
              <w:tab/>
              <w:tab/>
              <w:t>sąd, który nadał klauzulę wykonalności, datę postanowienia oraz sygnaturę akt sprawy, jeżeli</w:t>
              <w:tab/>
              <w:t>jest</w:t>
              <w:tab/>
              <w:t>inna</w:t>
              <w:tab/>
              <w:tab/>
              <w:t>niż</w:t>
              <w:tab/>
              <w:t>sygnatura</w:t>
              <w:tab/>
              <w:t>tytułu egzekucyjnego.</w:t>
            </w:r>
          </w:p>
        </w:tc>
      </w:tr>
    </w:tbl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</w:r>
    </w:p>
    <w:p>
      <w:pPr>
        <w:pStyle w:val="Normal"/>
        <w:spacing w:lineRule="exact" w:line="20"/>
        <w:ind w:left="112" w:hanging="0"/>
        <w:jc w:val="left"/>
        <w:rPr>
          <w:rFonts w:ascii="Times New Roman" w:hAnsi="Times New Roman" w:eastAsia="Times New Roman" w:cs="Times New Roman"/>
          <w:b w:val="false"/>
          <w:color w:val="auto"/>
          <w:sz w:val="2"/>
        </w:rPr>
      </w:pPr>
      <w:r>
        <w:rPr/>
        <w:drawing>
          <wp:inline distT="0" distB="0" distL="0" distR="0">
            <wp:extent cx="6273800" cy="14605"/>
            <wp:effectExtent l="0" t="0" r="0" b="0"/>
            <wp:docPr id="3" name="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6" w:after="0"/>
        <w:jc w:val="left"/>
        <w:rPr>
          <w:rFonts w:ascii="Times New Roman" w:hAnsi="Times New Roman" w:eastAsia="Times New Roman" w:cs="Times New Roman"/>
          <w:b/>
          <w:color w:val="auto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</w:rPr>
      </w:r>
    </w:p>
    <w:tbl>
      <w:tblPr>
        <w:tblW w:w="9569" w:type="dxa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10" w:type="dxa"/>
        </w:tblCellMar>
      </w:tblPr>
      <w:tblGrid>
        <w:gridCol w:w="9569"/>
      </w:tblGrid>
      <w:tr>
        <w:trPr/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spacing w:lineRule="auto" w:line="240" w:before="41" w:after="0"/>
              <w:ind w:left="64" w:hanging="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>5.2. Wnoszę o wyegzekwowanie następujących należności pieniężnych:</w:t>
            </w:r>
          </w:p>
        </w:tc>
      </w:tr>
      <w:tr>
        <w:trPr/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auto" w:line="240" w:before="177" w:after="0"/>
              <w:ind w:left="64" w:hanging="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5.2.1. Należność główna:</w:t>
            </w:r>
          </w:p>
        </w:tc>
      </w:tr>
      <w:tr>
        <w:trPr/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exact" w:line="250"/>
              <w:ind w:left="64" w:hanging="0"/>
              <w:jc w:val="left"/>
              <w:rPr>
                <w:rFonts w:ascii="Arial" w:hAnsi="Arial" w:eastAsia="Arial" w:cs="Arial"/>
                <w:b w:val="false"/>
                <w:color w:val="auto"/>
                <w:sz w:val="22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5.2.2. Odsetki:</w:t>
            </w:r>
          </w:p>
          <w:p>
            <w:pPr>
              <w:pStyle w:val="Normal"/>
              <w:spacing w:lineRule="auto" w:line="240"/>
              <w:ind w:left="631" w:right="1351" w:hanging="0"/>
              <w:jc w:val="left"/>
              <w:rPr/>
            </w:pP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rodzaj odsetek (ustawowe, ustawowe za opóźnienie, ustawowe za opóźnienie w transakcjach handlowych, umowne, jak dla zaległości podatkowych*) kwota, od której mają być naliczane odsetki:</w:t>
            </w:r>
          </w:p>
          <w:p>
            <w:pPr>
              <w:pStyle w:val="Normal"/>
              <w:spacing w:lineRule="auto" w:line="240" w:before="2" w:after="0"/>
              <w:ind w:left="631" w:right="573" w:hanging="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za  okres  od  dnia    do  dnia   </w:t>
            </w:r>
          </w:p>
        </w:tc>
      </w:tr>
      <w:tr>
        <w:trPr/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exact" w:line="251"/>
              <w:ind w:left="64" w:hanging="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5.2.3. Koszty postępowania sądowego:</w:t>
            </w:r>
          </w:p>
        </w:tc>
      </w:tr>
      <w:tr>
        <w:trPr/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exact" w:line="251"/>
              <w:ind w:left="64" w:hanging="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5.2.4. Koszty postępowania klauzulowego:</w:t>
            </w:r>
          </w:p>
        </w:tc>
      </w:tr>
      <w:tr>
        <w:trPr/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exact" w:line="251"/>
              <w:ind w:left="64" w:hanging="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5.2.5. Pozostałe należności (wskazać rodzaj i wysokość):</w:t>
            </w:r>
          </w:p>
        </w:tc>
      </w:tr>
      <w:tr>
        <w:trPr/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spacing w:lineRule="auto" w:line="240" w:before="158" w:after="0"/>
              <w:ind w:left="491" w:right="74" w:hanging="428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 xml:space="preserve">5.3. Wnoszę o wyegzekwowanie następujących świadczeń niepieniężnych </w:t>
            </w: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(należy wypełnić tylko w przypadku dochodzenia tego rodzaju świadczenia)</w:t>
            </w:r>
          </w:p>
        </w:tc>
      </w:tr>
      <w:tr>
        <w:trPr/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auto" w:line="240"/>
              <w:ind w:left="631" w:hanging="567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 xml:space="preserve">5.3.1. Opis świadczenia. </w:t>
            </w: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W przypadku egzekucji świadczeń niepieniężnych, należy podać, jakie świadczenie lub świadczenia mają zostać wyegzekwowane zgodnie z treścią tytułu wykonawczego (np. wydanie rzeczy, opróżnienie lokalu).</w:t>
            </w:r>
          </w:p>
        </w:tc>
      </w:tr>
      <w:tr>
        <w:trPr/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spacing w:lineRule="auto" w:line="240"/>
              <w:ind w:left="347" w:right="57" w:hanging="284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 xml:space="preserve">6. Składniki majątkowe dłużnika, z których prowadzona ma być egzekucja świadczeń pieniężnych. </w:t>
            </w:r>
            <w:r>
              <w:rPr>
                <w:rFonts w:eastAsia="Arial" w:cs="Arial" w:ascii="Arial" w:hAnsi="Arial"/>
                <w:b w:val="false"/>
                <w:color w:val="auto"/>
                <w:sz w:val="22"/>
              </w:rPr>
              <w:t>Wypełnić w razie dochodzenia należności pieniężnych. Wskazanie składników majątkowych dłużnika nie jest obowiązkowe. W razie ich niewskazania, komornik jest obowiązany ustalić składniki majątkowe dłużnika. Wszczęcie egzekucji z nieruchomości, spółdzielczego własnościowego prawa do lokalu, użytkowania wieczystego, ułamkowej części nieruchomości albo ze statku morskiego wpisanego do rejestru okrętowego jest jednak dopuszczalne tylko wtedy, gdy wierzyciel zgłosi wniosek o wszczęcie egzekucji z takiego składnika majątkowego. Wierzyciel może też żądać przeprowadzenia egzekucji wyłącznie ze składników majątkowych wymienionych we wniosku.</w:t>
            </w:r>
          </w:p>
        </w:tc>
      </w:tr>
      <w:tr>
        <w:trPr/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auto" w:line="240"/>
              <w:ind w:left="491" w:hanging="428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 xml:space="preserve">6.1. Nieruchomość dłużnika </w:t>
            </w: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(należy opisać nieruchomość, z której ma być prowadzona egzekucja, podać jej położenie i adres; można wskazać numer księgi wieczystej oraz sąd prowadzący księgę wieczystą; należy też wskazać, czy dochodzona wierzytelność jest zabezpieczona hipoteką ustanowioną na opisanej nieruchomości):</w:t>
            </w:r>
          </w:p>
        </w:tc>
      </w:tr>
    </w:tbl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</w:r>
    </w:p>
    <w:p>
      <w:pPr>
        <w:pStyle w:val="Normal"/>
        <w:spacing w:lineRule="exact" w:line="20"/>
        <w:ind w:left="112" w:hanging="0"/>
        <w:jc w:val="left"/>
        <w:rPr>
          <w:rFonts w:ascii="Times New Roman" w:hAnsi="Times New Roman" w:eastAsia="Times New Roman" w:cs="Times New Roman"/>
          <w:b w:val="false"/>
          <w:color w:val="auto"/>
          <w:sz w:val="2"/>
        </w:rPr>
      </w:pPr>
      <w:r>
        <w:rPr/>
        <w:drawing>
          <wp:inline distT="0" distB="0" distL="0" distR="0">
            <wp:extent cx="6273800" cy="14605"/>
            <wp:effectExtent l="0" t="0" r="0" b="0"/>
            <wp:docPr id="4" name="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6" w:after="0"/>
        <w:jc w:val="left"/>
        <w:rPr>
          <w:rFonts w:ascii="Times New Roman" w:hAnsi="Times New Roman" w:eastAsia="Times New Roman" w:cs="Times New Roman"/>
          <w:b/>
          <w:color w:val="auto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</w:rPr>
      </w:r>
    </w:p>
    <w:tbl>
      <w:tblPr>
        <w:tblW w:w="9569" w:type="dxa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10" w:type="dxa"/>
        </w:tblCellMar>
      </w:tblPr>
      <w:tblGrid>
        <w:gridCol w:w="5883"/>
        <w:gridCol w:w="3686"/>
      </w:tblGrid>
      <w:tr>
        <w:trPr/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auto" w:line="240"/>
              <w:ind w:left="491" w:right="64" w:hanging="428"/>
              <w:jc w:val="left"/>
              <w:rPr/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 xml:space="preserve">6.2. Inne składniki majątkowe dłużnika, z których ma być prowadzona egzekucja </w:t>
            </w: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(można oznaczyć rodzajowo składniki  majątkowe  dłużnika,  z  których  ma  być  prowadzona  egzekucja,  np. z rachunku bankowego lub z rachunku w spółdzielczej kasie oszczędnościowo-kredytowej lub      z wynagrodzenia za pracę; w miarę możliwości należy podać dane umożliwiające identyfikację wskazanych składników majątkowych, np. w razie wskazania ruchomości dłużnika można  je wymienić i wskazać miejsce, w którym się znajdują, w razie wynagrodzenia za pracę, podać dane pracodawcy, a w przypadku egzekucji z rachunku bankowego lub z rachunku w spółdzielczej kasie oszczędnościowo-kredytowej  –  podać  nazwę   banku  lub   spółdzielczej  kasy    oszczędnościowo-</w:t>
            </w:r>
          </w:p>
          <w:p>
            <w:pPr>
              <w:pStyle w:val="Normal"/>
              <w:spacing w:lineRule="exact" w:line="228" w:before="4" w:after="0"/>
              <w:ind w:left="491" w:hanging="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-kredytowej, w której jest prowadzony rachunek dłużnika):</w:t>
            </w:r>
          </w:p>
        </w:tc>
      </w:tr>
      <w:tr>
        <w:trPr/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auto" w:line="240" w:before="10" w:after="0"/>
              <w:jc w:val="left"/>
              <w:rPr>
                <w:rFonts w:ascii="Times New Roman" w:hAnsi="Times New Roman" w:eastAsia="Times New Roman" w:cs="Times New Roman"/>
                <w:b/>
                <w:color w:val="auto"/>
                <w:sz w:val="25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5"/>
              </w:rPr>
            </w:r>
          </w:p>
          <w:p>
            <w:pPr>
              <w:pStyle w:val="Normal"/>
              <w:spacing w:lineRule="auto" w:line="240"/>
              <w:ind w:left="491" w:right="709" w:hanging="428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>6.3. Żądam przeprowadzenia egzekucji wyłącznie z wymienionych wyżej składników majątkowych:   tak / nie*</w:t>
            </w:r>
          </w:p>
        </w:tc>
      </w:tr>
      <w:tr>
        <w:trPr/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spacing w:lineRule="exact" w:line="249"/>
              <w:ind w:left="64" w:hanging="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 xml:space="preserve">7. Załączniki </w:t>
            </w: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(należy wymienić wszystkie dokumenty dołączone do wniosku)</w:t>
            </w:r>
          </w:p>
        </w:tc>
      </w:tr>
      <w:tr>
        <w:trPr/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numPr>
                <w:ilvl w:val="0"/>
                <w:numId w:val="3"/>
              </w:numPr>
              <w:tabs>
                <w:tab w:val="left" w:pos="0" w:leader="none"/>
              </w:tabs>
              <w:spacing w:lineRule="auto" w:line="240" w:before="58" w:after="0"/>
              <w:ind w:left="424" w:hanging="360"/>
              <w:jc w:val="left"/>
              <w:rPr/>
            </w:pP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tytuł wykonawczy,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0" w:leader="none"/>
              </w:tabs>
              <w:spacing w:lineRule="auto" w:line="240" w:before="60" w:after="0"/>
              <w:ind w:left="424" w:right="1084" w:hanging="360"/>
              <w:jc w:val="left"/>
              <w:rPr>
                <w:rFonts w:ascii="Arial" w:hAnsi="Arial" w:eastAsia="Arial" w:cs="Arial"/>
                <w:b w:val="false"/>
                <w:color w:val="auto"/>
                <w:sz w:val="20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pełnomocnictwo (o ile został ustanowiony pełnomocnik) wraz z dowodem uiszczenia opłaty skarbowej,*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0" w:leader="none"/>
              </w:tabs>
              <w:spacing w:lineRule="auto" w:line="240" w:before="58" w:after="0"/>
              <w:ind w:left="424" w:right="384" w:hanging="360"/>
              <w:jc w:val="left"/>
              <w:rPr/>
            </w:pP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dokument lub dokumenty wykazujące umocowanie do działania w imieniu wierzyciela niebędącego osobą fizyczną,*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0" w:leader="none"/>
              </w:tabs>
              <w:spacing w:lineRule="auto" w:line="240" w:before="60" w:after="0"/>
              <w:ind w:left="424" w:hanging="360"/>
              <w:jc w:val="left"/>
              <w:rPr/>
            </w:pP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oświadczenie o wyborze komornika,*</w:t>
            </w:r>
          </w:p>
          <w:p>
            <w:pPr>
              <w:pStyle w:val="Normal"/>
              <w:spacing w:lineRule="auto" w:line="240" w:before="60" w:after="0"/>
              <w:ind w:left="64" w:right="573" w:hanging="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>5)        inne      (podać      jakie): .</w:t>
            </w:r>
          </w:p>
        </w:tc>
      </w:tr>
      <w:tr>
        <w:trPr/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spacing w:lineRule="exact" w:line="252" w:before="1" w:after="0"/>
              <w:ind w:left="347" w:hanging="284"/>
              <w:jc w:val="left"/>
              <w:rPr>
                <w:rFonts w:ascii="Calibri" w:hAnsi="Calibri" w:eastAsia="Calibri" w:cs="Calibri"/>
                <w:b w:val="false"/>
                <w:color w:val="auto"/>
                <w:sz w:val="22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 xml:space="preserve">8. Imię i nazwisko </w:t>
            </w:r>
            <w:r>
              <w:rPr>
                <w:rFonts w:eastAsia="Arial" w:cs="Arial" w:ascii="Arial" w:hAnsi="Arial"/>
                <w:b w:val="false"/>
                <w:color w:val="auto"/>
                <w:sz w:val="20"/>
              </w:rPr>
              <w:t xml:space="preserve">(czytelne) osoby lub osób składających wniosek </w:t>
            </w:r>
            <w:r>
              <w:rPr>
                <w:rFonts w:eastAsia="Arial" w:cs="Arial" w:ascii="Arial" w:hAnsi="Arial"/>
                <w:b/>
                <w:color w:val="auto"/>
                <w:sz w:val="22"/>
              </w:rPr>
              <w:t>oraz podpis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" w:type="dxa"/>
            </w:tcMar>
          </w:tcPr>
          <w:p>
            <w:pPr>
              <w:pStyle w:val="Normal"/>
              <w:spacing w:lineRule="auto" w:line="240" w:before="121" w:after="0"/>
              <w:ind w:left="64" w:hanging="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/>
                <w:color w:val="auto"/>
                <w:sz w:val="22"/>
              </w:rPr>
              <w:t>9. Miejscowość i data</w:t>
            </w:r>
          </w:p>
        </w:tc>
      </w:tr>
      <w:tr>
        <w:trPr/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auto"/>
                <w:sz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color w:val="auto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auto"/>
                <w:sz w:val="24"/>
              </w:rPr>
            </w:r>
          </w:p>
        </w:tc>
      </w:tr>
    </w:tbl>
    <w:p>
      <w:pPr>
        <w:pStyle w:val="Normal"/>
        <w:spacing w:lineRule="auto" w:line="240" w:before="115" w:after="0"/>
        <w:ind w:left="4329" w:right="4128" w:hanging="0"/>
        <w:jc w:val="center"/>
        <w:rPr>
          <w:rFonts w:ascii="Arial" w:hAnsi="Arial" w:eastAsia="Arial" w:cs="Arial"/>
          <w:b/>
          <w:color w:val="auto"/>
          <w:sz w:val="20"/>
        </w:rPr>
      </w:pPr>
      <w:r>
        <w:rPr>
          <w:rFonts w:eastAsia="Arial" w:cs="Arial" w:ascii="Arial" w:hAnsi="Arial"/>
          <w:b/>
          <w:color w:val="auto"/>
          <w:sz w:val="20"/>
        </w:rPr>
        <w:t>P O U C Z E N I E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240" w:before="2" w:after="0"/>
        <w:ind w:left="982" w:right="125" w:hanging="360"/>
        <w:jc w:val="both"/>
        <w:rPr/>
      </w:pPr>
      <w:r>
        <w:rPr>
          <w:rFonts w:eastAsia="Arial" w:cs="Arial" w:ascii="Arial" w:hAnsi="Arial"/>
          <w:b w:val="false"/>
          <w:color w:val="auto"/>
          <w:sz w:val="18"/>
        </w:rPr>
        <w:t xml:space="preserve">Formularze są  dostępne  w  kancelariach  komorniczych,  budynkach  sądów  rejonowych  i  okręgowych  oraz  w Internecie pod adresami </w:t>
      </w:r>
      <w:hyperlink r:id="rId6">
        <w:r>
          <w:rPr>
            <w:rStyle w:val="Czeinternetowe"/>
            <w:rFonts w:eastAsia="Arial" w:cs="Arial" w:ascii="Arial" w:hAnsi="Arial"/>
            <w:b w:val="false"/>
            <w:color w:val="0000FF"/>
            <w:sz w:val="18"/>
            <w:u w:val="single"/>
          </w:rPr>
          <w:t>www.ms.gov.pl,</w:t>
        </w:r>
      </w:hyperlink>
      <w:r>
        <w:rPr>
          <w:rFonts w:eastAsia="Arial" w:cs="Arial" w:ascii="Arial" w:hAnsi="Arial"/>
          <w:b w:val="false"/>
          <w:color w:val="auto"/>
          <w:sz w:val="18"/>
        </w:rPr>
        <w:t xml:space="preserve"> </w:t>
      </w:r>
      <w:hyperlink r:id="rId7">
        <w:r>
          <w:rPr>
            <w:rStyle w:val="Czeinternetowe"/>
            <w:rFonts w:eastAsia="Arial" w:cs="Arial" w:ascii="Arial" w:hAnsi="Arial"/>
            <w:b w:val="false"/>
            <w:color w:val="0000FF"/>
            <w:sz w:val="18"/>
            <w:u w:val="single"/>
          </w:rPr>
          <w:t>www.komornik.pl</w:t>
        </w:r>
      </w:hyperlink>
      <w:r>
        <w:rPr>
          <w:rFonts w:eastAsia="Arial" w:cs="Arial" w:ascii="Arial" w:hAnsi="Arial"/>
          <w:b w:val="false"/>
          <w:color w:val="auto"/>
          <w:sz w:val="18"/>
        </w:rPr>
        <w:t xml:space="preserve"> oraz na stronach internetowych sądów rejonowych, sądów okręgowych i kancelarii komorniczych.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exact" w:line="206"/>
        <w:ind w:left="982" w:hanging="360"/>
        <w:jc w:val="left"/>
        <w:rPr/>
      </w:pPr>
      <w:r>
        <w:rPr>
          <w:rFonts w:eastAsia="Arial" w:cs="Arial" w:ascii="Arial" w:hAnsi="Arial"/>
          <w:b w:val="false"/>
          <w:color w:val="auto"/>
          <w:sz w:val="18"/>
        </w:rPr>
        <w:t>Wniosek nie musi być złożony na formularzu (art. 796 § 1 zd. 2 k.p.c.).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240"/>
        <w:ind w:left="982" w:right="127" w:hanging="360"/>
        <w:jc w:val="both"/>
        <w:rPr/>
      </w:pPr>
      <w:r>
        <w:rPr>
          <w:rFonts w:eastAsia="Arial" w:cs="Arial" w:ascii="Arial" w:hAnsi="Arial"/>
          <w:b w:val="false"/>
          <w:color w:val="auto"/>
          <w:sz w:val="18"/>
        </w:rPr>
        <w:t>Wniosek należy złożyć w kancelarii właściwego komornika albo przesłać za pośrednictwem operatora pocztowego (pocztą) do kancelarii tego komornika. Zgodnie z art. 165 § 2 k.p.c. w zw. z art. 13 § 2  k.p.c., nadanie pisma w polskiej placówce pocztowej operatora wyznaczonego w rozumieniu ustawy z dnia 23 listopada 2012 r. – Prawo pocztowe lub w placówce pocztowej operatora świadczącego pocztowe usługi powszechne       w innym państwie członkowskim Unii Europejskiej jest równoznaczne z wniesieniem go do komornika (datą wniesienia jest data nadania).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240"/>
        <w:ind w:left="982" w:right="128" w:hanging="360"/>
        <w:jc w:val="both"/>
        <w:rPr/>
      </w:pPr>
      <w:r>
        <w:rPr>
          <w:rFonts w:eastAsia="Arial" w:cs="Arial" w:ascii="Arial" w:hAnsi="Arial"/>
          <w:b w:val="false"/>
          <w:color w:val="auto"/>
          <w:sz w:val="18"/>
        </w:rPr>
        <w:t>Niezachowanie warunków formalnych pisma, które uniemożliwia nadanie mu dalszego biegu, powoduje wezwanie do uzupełnienia braków pisma (art. 130 § 1 k.p.c. w zw. z art. 13 § 2 k.p.c.).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240"/>
        <w:ind w:left="982" w:right="130" w:hanging="360"/>
        <w:jc w:val="both"/>
        <w:rPr/>
      </w:pPr>
      <w:r>
        <w:rPr>
          <w:rFonts w:eastAsia="Arial" w:cs="Arial" w:ascii="Arial" w:hAnsi="Arial"/>
          <w:b w:val="false"/>
          <w:color w:val="auto"/>
          <w:sz w:val="18"/>
        </w:rPr>
        <w:t>Wniosek składa się do komornika sądowego, który ma prowadzić egzekucję. Właściwość komornika wynika        z przepisów Kodeksu postępowania cywilnego.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240"/>
        <w:ind w:left="982" w:right="126" w:hanging="360"/>
        <w:jc w:val="both"/>
        <w:rPr/>
      </w:pPr>
      <w:r>
        <w:rPr>
          <w:rFonts w:eastAsia="Arial" w:cs="Arial" w:ascii="Arial" w:hAnsi="Arial"/>
          <w:b w:val="false"/>
          <w:color w:val="auto"/>
          <w:sz w:val="18"/>
        </w:rPr>
        <w:t>Wierzyciel ma prawo wyboru komornika na obszarze właściwości sądu apelacyjnego. W takim przypadku do wniosku należy dołączyć pisemne oświadczenie o wyborze komornika (art. 10 ust. 3 ustawy z dnia 22 marca 2018 r. o komornikach sądowych).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240" w:before="2" w:after="0"/>
        <w:ind w:left="982" w:right="126" w:hanging="360"/>
        <w:jc w:val="both"/>
        <w:rPr/>
      </w:pPr>
      <w:r>
        <w:rPr>
          <w:rFonts w:eastAsia="Arial" w:cs="Arial" w:ascii="Arial" w:hAnsi="Arial"/>
          <w:b w:val="false"/>
          <w:color w:val="auto"/>
          <w:sz w:val="18"/>
        </w:rPr>
        <w:t>Zgodnie z art. 10 ust. 1 ustawy z dnia 22 marca 2018 r. o komornikach sądowych, wybór komornika jest wyłączony w sprawach o egzekucję z nieruchomości, wydanie nieruchomości, wprowadzenie w posiadanie nieruchomości, opróżnienie pomieszczeń, w tym lokali mieszkalnych, z osób lub rzeczy oraz w sprawach,           w których przepisy o egzekucji z nieruchomości stosuje się odpowiednio (np. w razie egzekucji z użytkowania wieczystego albo spółdzielczego własnościowego prawa do lokalu mieszkalnego). Do prowadzenia egzekucji     w takich sprawach wyłącznie właściwy jest komornik działający przy sądzie rejonowym, w którego okręgu jest położona nieruchomość.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auto"/>
    <w:pitch w:val="default"/>
  </w:font>
  <w:font w:name="Arial">
    <w:charset w:val="ee"/>
    <w:family w:val="auto"/>
    <w:pitch w:val="default"/>
  </w:font>
  <w:font w:name="Calibri">
    <w:charset w:val="ee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982"/>
        </w:tabs>
        <w:ind w:left="98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75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left"/>
    </w:pPr>
    <w:rPr>
      <w:rFonts w:ascii="Calibri" w:hAnsi="Calibri"/>
      <w:sz w:val="22"/>
      <w:lang w:val="en-U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hyperlink" Target="http://www.ms.gov.pl/" TargetMode="External"/><Relationship Id="rId7" Type="http://schemas.openxmlformats.org/officeDocument/2006/relationships/hyperlink" Target="http://www.komornik.pl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LibreOffice/5.3.2.2$Windows_X86_64 LibreOffice_project/6cd4f1ef626f15116896b1d8e1398b56da0d0ee1</Application>
  <Pages>3</Pages>
  <Words>1261</Words>
  <Characters>7624</Characters>
  <CharactersWithSpaces>8852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revision>0</cp:revision>
  <dc:subject/>
  <dc:title/>
</cp:coreProperties>
</file>